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6383" w:rsidRDefault="00426383">
      <w:pPr>
        <w:rPr>
          <w:sz w:val="4"/>
          <w:szCs w:val="5"/>
        </w:rPr>
      </w:pPr>
    </w:p>
    <w:tbl>
      <w:tblPr>
        <w:tblW w:w="968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  <w:gridCol w:w="45"/>
      </w:tblGrid>
      <w:tr w:rsidR="00426383" w:rsidTr="00C946BB">
        <w:trPr>
          <w:trHeight w:val="402"/>
          <w:tblHeader/>
        </w:trPr>
        <w:tc>
          <w:tcPr>
            <w:tcW w:w="9688" w:type="dxa"/>
            <w:gridSpan w:val="2"/>
            <w:shd w:val="clear" w:color="auto" w:fill="549E39"/>
          </w:tcPr>
          <w:p w:rsidR="00426383" w:rsidRDefault="00426383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549E39"/>
              <w:spacing w:before="57" w:after="57"/>
              <w:jc w:val="center"/>
            </w:pPr>
            <w:r>
              <w:rPr>
                <w:rFonts w:ascii="Corbel" w:hAnsi="Corbel" w:cs="Corbel"/>
                <w:b/>
                <w:color w:val="FFFFFF"/>
                <w:sz w:val="22"/>
              </w:rPr>
              <w:t>TÍTULO</w:t>
            </w:r>
          </w:p>
        </w:tc>
      </w:tr>
      <w:tr w:rsidR="00426383" w:rsidTr="00C946BB">
        <w:trPr>
          <w:trHeight w:val="575"/>
        </w:trPr>
        <w:tc>
          <w:tcPr>
            <w:tcW w:w="9688" w:type="dxa"/>
            <w:gridSpan w:val="2"/>
            <w:shd w:val="clear" w:color="auto" w:fill="auto"/>
          </w:tcPr>
          <w:p w:rsidR="00A96CD1" w:rsidRDefault="00C946BB" w:rsidP="00C946BB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>ACUERDO SOCIAL EN DEFENSA DEL EMPLEO</w:t>
            </w:r>
          </w:p>
        </w:tc>
      </w:tr>
      <w:tr w:rsidR="00426383" w:rsidTr="00C946BB">
        <w:trPr>
          <w:trHeight w:val="417"/>
          <w:tblHeader/>
        </w:trPr>
        <w:tc>
          <w:tcPr>
            <w:tcW w:w="9688" w:type="dxa"/>
            <w:gridSpan w:val="2"/>
            <w:shd w:val="clear" w:color="auto" w:fill="549E39"/>
          </w:tcPr>
          <w:p w:rsidR="00426383" w:rsidRDefault="00426383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549E39"/>
              <w:spacing w:before="57" w:after="57"/>
              <w:jc w:val="center"/>
            </w:pPr>
            <w:r>
              <w:rPr>
                <w:rFonts w:ascii="Corbel" w:hAnsi="Corbel" w:cs="Corbel"/>
                <w:b/>
                <w:color w:val="FFFFFF"/>
                <w:sz w:val="22"/>
              </w:rPr>
              <w:t>RESUMEN</w:t>
            </w:r>
          </w:p>
        </w:tc>
      </w:tr>
      <w:tr w:rsidR="00426383" w:rsidTr="00C946BB">
        <w:trPr>
          <w:trHeight w:val="2056"/>
        </w:trPr>
        <w:tc>
          <w:tcPr>
            <w:tcW w:w="9688" w:type="dxa"/>
            <w:gridSpan w:val="2"/>
            <w:shd w:val="clear" w:color="auto" w:fill="auto"/>
          </w:tcPr>
          <w:p w:rsidR="006C1C5F" w:rsidRPr="0074301F" w:rsidRDefault="006C1C5F" w:rsidP="00992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ES_tradnl" w:eastAsia="es-ES" w:bidi="ar-SA"/>
              </w:rPr>
            </w:pPr>
          </w:p>
          <w:p w:rsidR="00A96CD1" w:rsidRPr="0074301F" w:rsidRDefault="00C946BB" w:rsidP="00992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_tradnl" w:eastAsia="es-ES" w:bidi="ar-SA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 xml:space="preserve">Adjunto se remite el 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Acuerdo Social en Defensa del Empleo 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 xml:space="preserve">que en el día de hoy han firmado el 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>Presidente del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>Gobierno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 xml:space="preserve">, D. Pedro Sánchez Pérez-Castejón, los 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>Secretarios Generales de CC.OO y UGT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 xml:space="preserve">, junto con el 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>Presidente de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 xml:space="preserve"> 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>la CEOE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 xml:space="preserve">, D. Antonio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>Garamendi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>Lecanda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 xml:space="preserve">, y el </w:t>
            </w:r>
            <w:r>
              <w:rPr>
                <w:rFonts w:ascii="Calibri-Bold" w:eastAsia="Times New Roman" w:hAnsi="Calibri-Bold" w:cs="Calibri-Bold"/>
                <w:b/>
                <w:bCs/>
                <w:kern w:val="0"/>
                <w:sz w:val="22"/>
                <w:szCs w:val="22"/>
                <w:lang w:eastAsia="es-ES" w:bidi="ar-SA"/>
              </w:rPr>
              <w:t>Presidente de CEPYME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  <w:t>, D. Gerardo Cuerva Valdivia.</w:t>
            </w:r>
          </w:p>
        </w:tc>
      </w:tr>
      <w:tr w:rsidR="006C1C5F" w:rsidTr="00C946BB">
        <w:trPr>
          <w:trHeight w:val="258"/>
        </w:trPr>
        <w:tc>
          <w:tcPr>
            <w:tcW w:w="9688" w:type="dxa"/>
            <w:gridSpan w:val="2"/>
            <w:shd w:val="clear" w:color="auto" w:fill="auto"/>
          </w:tcPr>
          <w:p w:rsidR="006C1C5F" w:rsidRDefault="006C1C5F" w:rsidP="009925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kern w:val="0"/>
                <w:sz w:val="22"/>
                <w:szCs w:val="22"/>
                <w:lang w:eastAsia="es-ES" w:bidi="ar-SA"/>
              </w:rPr>
            </w:pPr>
          </w:p>
        </w:tc>
      </w:tr>
      <w:tr w:rsidR="00426383" w:rsidTr="00C946BB">
        <w:trPr>
          <w:gridAfter w:val="1"/>
          <w:wAfter w:w="45" w:type="dxa"/>
          <w:tblHeader/>
        </w:trPr>
        <w:tc>
          <w:tcPr>
            <w:tcW w:w="9643" w:type="dxa"/>
            <w:shd w:val="clear" w:color="auto" w:fill="549E39"/>
          </w:tcPr>
          <w:p w:rsidR="00426383" w:rsidRDefault="00426383" w:rsidP="00992591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549E39"/>
              <w:spacing w:before="57" w:after="57"/>
              <w:jc w:val="both"/>
            </w:pPr>
            <w:r>
              <w:rPr>
                <w:rFonts w:ascii="Corbel" w:hAnsi="Corbel" w:cs="Corbel"/>
                <w:b/>
                <w:color w:val="FFFFFF"/>
                <w:sz w:val="22"/>
              </w:rPr>
              <w:t>CONTENIDO</w:t>
            </w:r>
          </w:p>
        </w:tc>
      </w:tr>
      <w:tr w:rsidR="00426383" w:rsidTr="00C946BB">
        <w:trPr>
          <w:gridAfter w:val="1"/>
          <w:wAfter w:w="45" w:type="dxa"/>
        </w:trPr>
        <w:tc>
          <w:tcPr>
            <w:tcW w:w="9643" w:type="dxa"/>
            <w:shd w:val="clear" w:color="auto" w:fill="auto"/>
          </w:tcPr>
          <w:p w:rsidR="00426383" w:rsidRDefault="00426383" w:rsidP="00992591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before="100" w:after="200"/>
              <w:jc w:val="both"/>
            </w:pPr>
          </w:p>
        </w:tc>
      </w:tr>
    </w:tbl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El día 11 de mayo se ha celebrado la firma del Acuerdo Social en Defensa del Empleo que establece una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serie de medidas para favorecer la recuperación económica, intentando avanzar en la regulación de los Expedientes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de Regulación Temporal de Empleo basados en la normativa derivada del COVID-19, y principalmente en lo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dispuesto en el Real Decreto-Ley 8/2020, de 17 de marzo, de medidas urgentes extraordinarias para hacer frente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al impacto económico y social del COVID-19, y legislación concordante.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Resumida y esquemáticamente, el contenido de este Acuerdo recoge lo siguiente:</w:t>
      </w: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A.- ESPECIALIDADES APLICABLES A LOS EXPEDIENTES DE REGULACIÓN TEMPORAL DE EMPLEO, BASADOS EN EL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ARTÍCULO 22 DEL REAL DECRETO-LEY 8/2020 (FUERZA MAYOR).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En este Acuerdo Social en Defensa del Empleo se reconocen tanto la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fuerza mayor total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como la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fuerza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mayor parcial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022A01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En este sentido, continuarán en situación de fuerza mayor total quienes cuenten con un expediente basado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en el artículo 22 del Real Decreto-Ley 8/2020 y no puedan reiniciar su actividad, mientras duren las causas que lo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motivaron y en ningún caso más allá del 30 de junio de 2020.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Por su parte, se encontrarán en situación de fuerza mayor parcial aquéllos que cuenten con un expediente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proofErr w:type="gramStart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del</w:t>
      </w:r>
      <w:proofErr w:type="gramEnd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artículo 22 desde el momento en que las causas de éste permitan la recuperación parcial de su actividad hasta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proofErr w:type="gramStart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el</w:t>
      </w:r>
      <w:proofErr w:type="gramEnd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30 de junio de 2020, debiendo proceder a reincorporar a los trabajadores en la medida necesaria para el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proofErr w:type="gramStart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desarrollo</w:t>
      </w:r>
      <w:proofErr w:type="gramEnd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de su actividad, primando los ajustes en términos de reducción de jornada.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lastRenderedPageBreak/>
        <w:t>B.- EXPEDIENTES POR CAUSAS ECONÓMICAS, TÉCNICAS, ORGANIZATIVAS Y DE PRODUCCIÓN (ETOP).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Los procedimientos de regulación temporal de empleo basados en causas ETOP iniciados después del día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12 de mayo y hasta el 30 de junio de 2020, seguirán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regulados por el artículo 23 del Real Decreto-Ley 8/2020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,teniendo en cuenta lo siguiente: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- Pueden iniciarse estos expedientes mientras estén vigentes los expedientes de regulación de empleo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por fuerza mayor, tanto total como parcial.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- Los efectos del expediente ETOP se retrotraerán a la fecha de finalización del expediente por fuerza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mayor.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- Los expedientes vigentes el día 12 de mayo seguirán siendo aplicables en los términos previstos en la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comunicación final de la empresa y hasta el término referido en la misma.</w:t>
      </w:r>
    </w:p>
    <w:p w:rsidR="00CB6DA0" w:rsidRDefault="00CB6DA0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C.- MEDIDAS EXTRAORDINARIAS EN MATERIA DE PRESTACIÓN POR DESEMPLEO.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Las medidas contenidas en el artículo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25 apartados 1 al 5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del Real Decreto-Ley 8/2020 continuarán hasta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el día 30 de junio (no exigencia del período mínimo cotizado, no cómputo del desempleo, nacimiento de nuevo de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derechos en algunos casos, etc.).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Las medidas contenidas en el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artículo 25.6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del Real Decreto-Ley 8/2020 </w:t>
      </w:r>
      <w:proofErr w:type="gramStart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relativas</w:t>
      </w:r>
      <w:proofErr w:type="gramEnd"/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a los contratos fijos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discontinuos se aplicarán hasta el 31 de diciembre de 2020.</w:t>
      </w: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D.- MEDIDAS EXTRAORDINARIAS EN MATERIA DE COTIZACIÓN VINCULADAS A LA FUERZA MAYOR.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Se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exonerarán los meses de mayo y junio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 xml:space="preserve">las aportaciones empresariales en los casos de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>fuerza mayor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-Bold" w:eastAsia="Times New Roman" w:hAnsi="Calibri-Bold" w:cs="Calibri-Bold"/>
          <w:b/>
          <w:bCs/>
          <w:kern w:val="0"/>
          <w:sz w:val="22"/>
          <w:szCs w:val="22"/>
          <w:lang w:eastAsia="es-ES" w:bidi="ar-SA"/>
        </w:rPr>
        <w:t xml:space="preserve">total </w:t>
      </w: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de la siguiente manera: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- Empresas de menos de 50 trabajadores a 29 de febrero de 2020: 100% de la aportación empresarial.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  <w:t>- Empresas de 50 trabajadores o más: 75% de la aportación empresarial.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En el caso de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fuerza mayor parcial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las exoneraciones son las siguientes: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- Respecto de los trabajadores que reinicien su actividad: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</w:t>
      </w: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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Empresas de menos de 50 trabajadores: 85% en mayo y 70% en junio.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</w:t>
      </w: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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Empresas de 50 o más trabajadores: 60% en mayo y 45% en junio.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- Respecto de los trabajadores que continúen suspendidos: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</w:t>
      </w: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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Empresas de menos de 50 trabajadores: 60% en mayo y 45% en junio.</w:t>
      </w:r>
    </w:p>
    <w:p w:rsidR="00C946BB" w:rsidRDefault="00C946BB" w:rsidP="00992591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</w:t>
      </w:r>
      <w:r>
        <w:rPr>
          <w:rFonts w:ascii="Symbol" w:eastAsia="Times New Roman" w:hAnsi="Symbol" w:cs="Symbol"/>
          <w:color w:val="000000"/>
          <w:kern w:val="0"/>
          <w:sz w:val="22"/>
          <w:szCs w:val="22"/>
          <w:lang w:eastAsia="es-ES" w:bidi="ar-SA"/>
        </w:rPr>
        <w:t>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Empresas de 50 o más trabajadores: 45% en mayo y 30% en junio.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ind w:left="709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Las exenciones se aplicarán a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instancias de la empresa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mediante declaración responsable en el sistema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RED.</w:t>
      </w: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</w:pP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lastRenderedPageBreak/>
        <w:t>E.- LÍMITES ADICIONALES.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Se determina que las empresas y entidades que tengan su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>domicilio fiscal en paraísos o territorios</w:t>
      </w:r>
      <w:r w:rsidR="00992591"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calificados como paraísos fiscales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no podrán acogerse a los expedientes por fuerza mayor, evitando la utilización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de recursos públicos.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Por su parte las sociedades mercantiles u otras personas jurídicas con 50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ó</w:t>
      </w:r>
      <w:proofErr w:type="spell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más trabajadores que se acojan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a expedientes de fuerza mayor, ya sea total o parcial, y que utilicen recursos públicos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>no podrán proceder al</w:t>
      </w:r>
      <w:r w:rsidR="00992591"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reparto de dividendos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correspondientes al ejercicio fiscal en el que se apliquen estos expedientes, excepto si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abonan previamente el importe correspondiente a la exoneración aplicada a las cuotas a la Seguridad Social.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Además ese ejercicio no será valorado a efectos del ejercicio de derecho y separación de los socios (artículo 348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bis apartado 1 del Texto Refundido de la Ley de Sociedades de Capital).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La limitación de reparto de dividendos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no es de aplicación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 las entidades que, a fecha 29 de febrero de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2020, tengan menos de 50 trabajadores o asimilados en situación de alta en la Seguridad Social.</w:t>
      </w: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</w:pP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>F.- EXTENSIÓN DE LAS MEDIDAS.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Mediante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acuerdo del Consejo de Ministros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se puede establecer: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tabs>
          <w:tab w:val="left" w:pos="142"/>
        </w:tabs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- Una prórroga de los expedientes de regulación temporal de empleo.</w:t>
      </w:r>
    </w:p>
    <w:p w:rsidR="00C946BB" w:rsidRDefault="00C946BB" w:rsidP="00992591">
      <w:pPr>
        <w:tabs>
          <w:tab w:val="left" w:pos="142"/>
        </w:tabs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- Prórroga de las exenciones.</w:t>
      </w:r>
    </w:p>
    <w:p w:rsidR="00C946BB" w:rsidRDefault="00C946BB" w:rsidP="00992591">
      <w:pPr>
        <w:tabs>
          <w:tab w:val="left" w:pos="142"/>
        </w:tabs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- Extenderlas a los expedientes por causas objetivas.</w:t>
      </w:r>
    </w:p>
    <w:p w:rsidR="00C946BB" w:rsidRDefault="00C946BB" w:rsidP="00992591">
      <w:pPr>
        <w:tabs>
          <w:tab w:val="left" w:pos="142"/>
        </w:tabs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- Prorrogar las medidas de protección por desempleo previstas en el artículo 25.1 del Real Decreto-Ley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8/2020.</w:t>
      </w:r>
    </w:p>
    <w:p w:rsidR="00992591" w:rsidRDefault="00992591" w:rsidP="00992591">
      <w:pPr>
        <w:tabs>
          <w:tab w:val="left" w:pos="142"/>
        </w:tabs>
        <w:suppressAutoHyphens w:val="0"/>
        <w:autoSpaceDE w:val="0"/>
        <w:autoSpaceDN w:val="0"/>
        <w:adjustRightInd w:val="0"/>
        <w:ind w:left="426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Asimismo se crea una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Comisión de Seguimiento Tripartita Laboral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integrada por el Ministerio de Trabajo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y Economía Social; el Ministerio de Inclusión, Seguridad Social y Migraciones; CEOE; CEPYME; CC.OO; y UGT;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comisión que deberá ser consultada, en cualquier caso, con antelación suficiente y con carácter previo a las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medidas antes señaladas y teniendo como función principal el seguimiento de las medidas, el intercambio de datos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 información, y la propuesta y debate de nuevas medidas.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B6DA0" w:rsidRDefault="00CB6DA0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</w:pP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>G.- SALVAGUARDA EL EMPLEO.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Se recoge una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>modificación de la Disposición Adicional Sexta del Real Decreto-Ley 8/2020, de 17 de</w:t>
      </w:r>
      <w:r w:rsidR="00992591"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>marzo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, de manera que las medidas contenidas por fuerza mayor, están sujetas al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>compromiso de la empresa de</w:t>
      </w:r>
      <w:r w:rsidR="00992591"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-Bold" w:eastAsia="Times New Roman" w:hAnsi="Calibri-Bold" w:cs="Calibri-Bold"/>
          <w:b/>
          <w:bCs/>
          <w:color w:val="000000"/>
          <w:kern w:val="0"/>
          <w:sz w:val="22"/>
          <w:szCs w:val="22"/>
          <w:lang w:eastAsia="es-ES" w:bidi="ar-SA"/>
        </w:rPr>
        <w:t xml:space="preserve">mantener el empleo durante el plazo de seis meses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desde la fecha de reanudación de la actividad, entendiendo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por tal la reincorporación al trabajo efectivo de personas afectadas por el expediente, </w:t>
      </w:r>
      <w:r w:rsidR="00CB6DA0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aun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cuando ésta sea parcial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o sólo afecte a parte de la plantilla.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Además se entenderá incumplido el compromiso si se produce el despido o extinción de los contratos de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cualesquiera de las personas afectadas por dichos expedientes, no considerándose incumplido cuando el contrato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se extinga por despido disciplinario procedente, dimisión, muerte, jubilación o incapacidad permanente total,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absoluta o gran invalidez, ni por el fin de llamamiento de las personas con contrato fijo discontinuo cuando éste no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suponga un despido sino una interrupción del mismo, ni cuando el contrato se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lastRenderedPageBreak/>
        <w:t>extinga por expiración del tiempo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convenido o la finalización de la obra o servicio que constituye su objeto, o cuando no pueda realizarse de forma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inmediata la actividad u objeto de la contratación.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Este compromiso se valorará en atención a las características específicas de los distintos sectores y la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normativa laboral aplicable, teniendo en cuenta las especificidades de aquellas empresas que presenten una alta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variabilidad o estacionalidad del empleo, no siendo de aplicación tampoco a las empresas en las que concurra un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riesgo de concurso de acreedores (artículo 5.2 de Ley 22/2003).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Las empresas que incumplan este compromiso deberán reintegrar la totalidad del importe de las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cotizaciones de cuyo pago resultaron exoneradas, con el recargo y los intereses de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demora correspondientes</w:t>
      </w:r>
      <w:proofErr w:type="gramEnd"/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,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previas actuaciones al efecto de la Inspección de Trabajo y Seguridad Social que acredite el incumplimiento y las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cantidades a reintegrar.</w:t>
      </w:r>
    </w:p>
    <w:p w:rsidR="00992591" w:rsidRDefault="00992591" w:rsidP="00992591">
      <w:p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</w:p>
    <w:p w:rsidR="00C946BB" w:rsidRPr="00032890" w:rsidRDefault="00C946BB" w:rsidP="00992591">
      <w:pPr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0"/>
          <w:szCs w:val="20"/>
          <w:lang w:eastAsia="es-ES" w:bidi="ar-SA"/>
        </w:r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En 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Badajoz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, a 11 de mayo de 2020</w:t>
      </w:r>
      <w:r w:rsidR="00992591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2</w:t>
      </w:r>
    </w:p>
    <w:sectPr w:rsidR="00C946BB" w:rsidRPr="00032890" w:rsidSect="0085410B">
      <w:headerReference w:type="default" r:id="rId7"/>
      <w:footerReference w:type="default" r:id="rId8"/>
      <w:pgSz w:w="11906" w:h="16838"/>
      <w:pgMar w:top="1418" w:right="1134" w:bottom="1134" w:left="113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6F" w:rsidRDefault="00957E6F">
      <w:r>
        <w:separator/>
      </w:r>
    </w:p>
  </w:endnote>
  <w:endnote w:type="continuationSeparator" w:id="0">
    <w:p w:rsidR="00957E6F" w:rsidRDefault="009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Noto Sans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Raleway Black">
    <w:charset w:val="01"/>
    <w:family w:val="auto"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83" w:rsidRDefault="00426383">
    <w:pPr>
      <w:pStyle w:val="Piedepgina"/>
      <w:rPr>
        <w:sz w:val="4"/>
        <w:szCs w:val="5"/>
      </w:rPr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69"/>
      <w:gridCol w:w="1705"/>
      <w:gridCol w:w="3969"/>
    </w:tblGrid>
    <w:tr w:rsidR="00426383">
      <w:tc>
        <w:tcPr>
          <w:tcW w:w="3969" w:type="dxa"/>
          <w:shd w:val="clear" w:color="auto" w:fill="auto"/>
        </w:tcPr>
        <w:p w:rsidR="00426383" w:rsidRDefault="00426383">
          <w:pPr>
            <w:pStyle w:val="Contenidodelatabla"/>
            <w:rPr>
              <w:sz w:val="4"/>
              <w:szCs w:val="4"/>
            </w:rPr>
          </w:pPr>
        </w:p>
      </w:tc>
      <w:tc>
        <w:tcPr>
          <w:tcW w:w="1705" w:type="dxa"/>
          <w:tcBorders>
            <w:bottom w:val="single" w:sz="4" w:space="0" w:color="000000"/>
          </w:tcBorders>
          <w:shd w:val="clear" w:color="auto" w:fill="auto"/>
        </w:tcPr>
        <w:p w:rsidR="00426383" w:rsidRDefault="00426383">
          <w:pPr>
            <w:pStyle w:val="Contenidodelatabla"/>
            <w:rPr>
              <w:sz w:val="4"/>
              <w:szCs w:val="4"/>
            </w:rPr>
          </w:pPr>
        </w:p>
      </w:tc>
      <w:tc>
        <w:tcPr>
          <w:tcW w:w="3969" w:type="dxa"/>
          <w:shd w:val="clear" w:color="auto" w:fill="auto"/>
        </w:tcPr>
        <w:p w:rsidR="00426383" w:rsidRDefault="00426383">
          <w:pPr>
            <w:pStyle w:val="Contenidodelatabla"/>
            <w:rPr>
              <w:sz w:val="4"/>
              <w:szCs w:val="4"/>
            </w:rPr>
          </w:pPr>
        </w:p>
      </w:tc>
    </w:tr>
  </w:tbl>
  <w:p w:rsidR="00426383" w:rsidRDefault="00426383">
    <w:pPr>
      <w:pStyle w:val="Piedepgina"/>
      <w:rPr>
        <w:sz w:val="10"/>
        <w:szCs w:val="12"/>
      </w:rPr>
    </w:pPr>
  </w:p>
  <w:tbl>
    <w:tblPr>
      <w:tblW w:w="0" w:type="auto"/>
      <w:tblInd w:w="-49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247"/>
      <w:gridCol w:w="8203"/>
      <w:gridCol w:w="1241"/>
    </w:tblGrid>
    <w:tr w:rsidR="00426383">
      <w:tc>
        <w:tcPr>
          <w:tcW w:w="1247" w:type="dxa"/>
          <w:shd w:val="clear" w:color="auto" w:fill="auto"/>
          <w:vAlign w:val="center"/>
        </w:tcPr>
        <w:p w:rsidR="00426383" w:rsidRDefault="00426383">
          <w:pPr>
            <w:pStyle w:val="Contenidodelatabla"/>
            <w:jc w:val="center"/>
          </w:pPr>
        </w:p>
      </w:tc>
      <w:tc>
        <w:tcPr>
          <w:tcW w:w="8203" w:type="dxa"/>
          <w:shd w:val="clear" w:color="auto" w:fill="auto"/>
          <w:vAlign w:val="center"/>
        </w:tcPr>
        <w:p w:rsidR="00426383" w:rsidRDefault="00426383">
          <w:pPr>
            <w:pStyle w:val="Contenidodelatabla"/>
            <w:jc w:val="center"/>
          </w:pPr>
          <w:r>
            <w:t>c/Castillo de Feria s/n – Badajoz – 924 28 61 61 – infor@creex.es</w:t>
          </w:r>
        </w:p>
      </w:tc>
      <w:tc>
        <w:tcPr>
          <w:tcW w:w="1241" w:type="dxa"/>
          <w:shd w:val="clear" w:color="auto" w:fill="auto"/>
          <w:vAlign w:val="center"/>
        </w:tcPr>
        <w:p w:rsidR="00426383" w:rsidRDefault="00426383">
          <w:pPr>
            <w:pStyle w:val="Contenidodelatabla"/>
            <w:jc w:val="right"/>
            <w:rPr>
              <w:sz w:val="4"/>
              <w:szCs w:val="5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B6DA0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E30A86">
            <w:rPr>
              <w:noProof/>
            </w:rPr>
            <w:fldChar w:fldCharType="begin"/>
          </w:r>
          <w:r w:rsidR="00E30A86">
            <w:rPr>
              <w:noProof/>
            </w:rPr>
            <w:instrText xml:space="preserve"> NUMPAGES </w:instrText>
          </w:r>
          <w:r w:rsidR="00E30A86">
            <w:rPr>
              <w:noProof/>
            </w:rPr>
            <w:fldChar w:fldCharType="separate"/>
          </w:r>
          <w:r w:rsidR="00CB6DA0">
            <w:rPr>
              <w:noProof/>
            </w:rPr>
            <w:t>4</w:t>
          </w:r>
          <w:r w:rsidR="00E30A86">
            <w:rPr>
              <w:noProof/>
            </w:rPr>
            <w:fldChar w:fldCharType="end"/>
          </w:r>
        </w:p>
      </w:tc>
    </w:tr>
  </w:tbl>
  <w:p w:rsidR="00426383" w:rsidRDefault="00426383">
    <w:pPr>
      <w:pStyle w:val="Piedepgina"/>
      <w:rPr>
        <w:sz w:val="4"/>
        <w:szCs w:val="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6F" w:rsidRDefault="00957E6F">
      <w:r>
        <w:separator/>
      </w:r>
    </w:p>
  </w:footnote>
  <w:footnote w:type="continuationSeparator" w:id="0">
    <w:p w:rsidR="00957E6F" w:rsidRDefault="00957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383" w:rsidRDefault="00426383">
    <w:pPr>
      <w:pStyle w:val="Encabezado"/>
      <w:rPr>
        <w:sz w:val="4"/>
        <w:szCs w:val="5"/>
      </w:rPr>
    </w:pPr>
  </w:p>
  <w:tbl>
    <w:tblPr>
      <w:tblW w:w="9743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600" w:firstRow="0" w:lastRow="0" w:firstColumn="0" w:lastColumn="0" w:noHBand="1" w:noVBand="1"/>
    </w:tblPr>
    <w:tblGrid>
      <w:gridCol w:w="343"/>
      <w:gridCol w:w="4705"/>
      <w:gridCol w:w="1773"/>
      <w:gridCol w:w="741"/>
      <w:gridCol w:w="2008"/>
      <w:gridCol w:w="173"/>
    </w:tblGrid>
    <w:tr w:rsidR="00CB6DA0" w:rsidTr="00CB6DA0">
      <w:trPr>
        <w:trHeight w:val="749"/>
      </w:trPr>
      <w:tc>
        <w:tcPr>
          <w:tcW w:w="343" w:type="dxa"/>
          <w:shd w:val="clear" w:color="auto" w:fill="549E39"/>
        </w:tcPr>
        <w:p w:rsidR="00CB6DA0" w:rsidRPr="0085410B" w:rsidRDefault="00CB6DA0">
          <w:pPr>
            <w:pStyle w:val="Contenidodelatabla"/>
            <w:shd w:val="clear" w:color="auto" w:fill="549E39"/>
            <w:snapToGrid w:val="0"/>
            <w:rPr>
              <w:sz w:val="4"/>
              <w:szCs w:val="4"/>
            </w:rPr>
          </w:pPr>
        </w:p>
      </w:tc>
      <w:tc>
        <w:tcPr>
          <w:tcW w:w="4705" w:type="dxa"/>
          <w:shd w:val="clear" w:color="auto" w:fill="auto"/>
        </w:tcPr>
        <w:p w:rsidR="00CB6DA0" w:rsidRPr="0085410B" w:rsidRDefault="00CB6DA0">
          <w:pPr>
            <w:pStyle w:val="Contenidodelatabla"/>
            <w:snapToGrid w:val="0"/>
            <w:rPr>
              <w:sz w:val="4"/>
              <w:szCs w:val="4"/>
            </w:rPr>
          </w:pPr>
          <w:r w:rsidRPr="00CB6DA0">
            <w:rPr>
              <w:rFonts w:ascii="Times New Roman" w:eastAsia="Times New Roman" w:hAnsi="Times New Roman" w:cs="Times New Roman"/>
              <w:noProof/>
              <w:kern w:val="0"/>
              <w:sz w:val="24"/>
              <w:lang w:eastAsia="es-ES" w:bidi="ar-SA"/>
            </w:rPr>
            <w:drawing>
              <wp:inline distT="0" distB="0" distL="0" distR="0" wp14:anchorId="028CDBE8" wp14:editId="70DCF452">
                <wp:extent cx="2477467" cy="702978"/>
                <wp:effectExtent l="0" t="0" r="0" b="1905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-20200422-WA00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896" cy="776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3" w:type="dxa"/>
          <w:shd w:val="clear" w:color="auto" w:fill="549E39"/>
          <w:vAlign w:val="center"/>
        </w:tcPr>
        <w:p w:rsidR="00CB6DA0" w:rsidRDefault="00CB6DA0">
          <w:pPr>
            <w:pStyle w:val="Contenidodelatabla"/>
            <w:shd w:val="clear" w:color="auto" w:fill="549E39"/>
            <w:jc w:val="center"/>
          </w:pPr>
          <w:r>
            <w:rPr>
              <w:color w:val="FFFFFF"/>
              <w:spacing w:val="-6"/>
              <w:sz w:val="22"/>
              <w:szCs w:val="22"/>
            </w:rPr>
            <w:t xml:space="preserve">Área / </w:t>
          </w:r>
          <w:r>
            <w:rPr>
              <w:b/>
              <w:bCs/>
              <w:color w:val="FFFFFF"/>
              <w:spacing w:val="-6"/>
              <w:sz w:val="22"/>
              <w:szCs w:val="22"/>
            </w:rPr>
            <w:t>LABORAL</w:t>
          </w:r>
        </w:p>
      </w:tc>
      <w:tc>
        <w:tcPr>
          <w:tcW w:w="741" w:type="dxa"/>
          <w:shd w:val="clear" w:color="auto" w:fill="auto"/>
          <w:vAlign w:val="center"/>
        </w:tcPr>
        <w:p w:rsidR="00CB6DA0" w:rsidRDefault="00CB6DA0">
          <w:pPr>
            <w:pStyle w:val="Contenidodelatabla"/>
          </w:pPr>
          <w:r>
            <w:rPr>
              <w:sz w:val="16"/>
              <w:szCs w:val="16"/>
            </w:rPr>
            <w:t>Circular:</w:t>
          </w:r>
        </w:p>
        <w:p w:rsidR="00CB6DA0" w:rsidRDefault="00CB6DA0">
          <w:pPr>
            <w:pStyle w:val="Contenidodelatabla"/>
            <w:rPr>
              <w:sz w:val="6"/>
              <w:szCs w:val="7"/>
            </w:rPr>
          </w:pPr>
        </w:p>
        <w:p w:rsidR="00CB6DA0" w:rsidRDefault="00CB6DA0">
          <w:pPr>
            <w:pStyle w:val="Contenidodelatabla"/>
          </w:pPr>
          <w:r>
            <w:rPr>
              <w:sz w:val="16"/>
              <w:szCs w:val="16"/>
            </w:rPr>
            <w:t>Fecha:</w:t>
          </w:r>
        </w:p>
      </w:tc>
      <w:tc>
        <w:tcPr>
          <w:tcW w:w="2008" w:type="dxa"/>
          <w:shd w:val="clear" w:color="auto" w:fill="auto"/>
          <w:vAlign w:val="center"/>
        </w:tcPr>
        <w:p w:rsidR="00CB6DA0" w:rsidRDefault="00CB6DA0">
          <w:pPr>
            <w:pStyle w:val="Contenidodelatabla"/>
          </w:pPr>
          <w:r>
            <w:rPr>
              <w:sz w:val="16"/>
              <w:szCs w:val="16"/>
            </w:rPr>
            <w:t>20200417LA</w:t>
          </w:r>
        </w:p>
        <w:p w:rsidR="00CB6DA0" w:rsidRDefault="00CB6DA0">
          <w:pPr>
            <w:pStyle w:val="Contenidodelatabla"/>
            <w:rPr>
              <w:sz w:val="6"/>
              <w:szCs w:val="7"/>
            </w:rPr>
          </w:pPr>
        </w:p>
        <w:p w:rsidR="00CB6DA0" w:rsidRDefault="00CB6DA0">
          <w:pPr>
            <w:pStyle w:val="Contenidodelatabla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\@"d' de 'MMMM' de 'yyyy"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 de mayo de 2020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73" w:type="dxa"/>
          <w:shd w:val="clear" w:color="auto" w:fill="549E39"/>
        </w:tcPr>
        <w:p w:rsidR="00CB6DA0" w:rsidRDefault="00CB6DA0">
          <w:pPr>
            <w:pStyle w:val="Contenidodelatabla"/>
            <w:shd w:val="clear" w:color="auto" w:fill="549E39"/>
            <w:snapToGrid w:val="0"/>
          </w:pPr>
        </w:p>
        <w:p w:rsidR="00CB6DA0" w:rsidRDefault="00CB6DA0">
          <w:pPr>
            <w:pStyle w:val="Contenidodelatabla"/>
            <w:shd w:val="clear" w:color="auto" w:fill="549E39"/>
          </w:pPr>
        </w:p>
        <w:p w:rsidR="00CB6DA0" w:rsidRDefault="00CB6DA0">
          <w:pPr>
            <w:pStyle w:val="Contenidodelatabla"/>
            <w:shd w:val="clear" w:color="auto" w:fill="549E39"/>
          </w:pPr>
        </w:p>
        <w:p w:rsidR="00CB6DA0" w:rsidRDefault="00CB6DA0">
          <w:pPr>
            <w:pStyle w:val="Contenidodelatabla"/>
            <w:shd w:val="clear" w:color="auto" w:fill="549E39"/>
          </w:pPr>
        </w:p>
      </w:tc>
    </w:tr>
  </w:tbl>
  <w:p w:rsidR="00426383" w:rsidRDefault="00426383">
    <w:pPr>
      <w:pStyle w:val="Encabezado"/>
    </w:pPr>
  </w:p>
  <w:p w:rsidR="00426383" w:rsidRDefault="00426383">
    <w:pPr>
      <w:pStyle w:val="Encabezado"/>
    </w:pPr>
  </w:p>
  <w:p w:rsidR="00426383" w:rsidRDefault="00426383">
    <w:pPr>
      <w:pStyle w:val="Encabezado"/>
      <w:rPr>
        <w:sz w:val="4"/>
        <w:szCs w:val="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85673"/>
    <w:multiLevelType w:val="hybridMultilevel"/>
    <w:tmpl w:val="EDDCBB20"/>
    <w:lvl w:ilvl="0" w:tplc="B7F6E50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514783"/>
    <w:multiLevelType w:val="hybridMultilevel"/>
    <w:tmpl w:val="789A4A5C"/>
    <w:lvl w:ilvl="0" w:tplc="B7F6E50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5D6049"/>
    <w:multiLevelType w:val="hybridMultilevel"/>
    <w:tmpl w:val="47CEF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51B3"/>
    <w:multiLevelType w:val="hybridMultilevel"/>
    <w:tmpl w:val="1AFCB7DE"/>
    <w:lvl w:ilvl="0" w:tplc="B7F6E500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0"/>
    <w:rsid w:val="00022A01"/>
    <w:rsid w:val="00032890"/>
    <w:rsid w:val="0007125F"/>
    <w:rsid w:val="00181DB2"/>
    <w:rsid w:val="002D1B01"/>
    <w:rsid w:val="003D7E80"/>
    <w:rsid w:val="00426383"/>
    <w:rsid w:val="004E623F"/>
    <w:rsid w:val="006C1C5F"/>
    <w:rsid w:val="0074301F"/>
    <w:rsid w:val="007F6F38"/>
    <w:rsid w:val="0085410B"/>
    <w:rsid w:val="0087153F"/>
    <w:rsid w:val="00957E6F"/>
    <w:rsid w:val="00992591"/>
    <w:rsid w:val="009F4E9F"/>
    <w:rsid w:val="009F6DDB"/>
    <w:rsid w:val="00A96CD1"/>
    <w:rsid w:val="00C946BB"/>
    <w:rsid w:val="00CB6DA0"/>
    <w:rsid w:val="00E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C3C3FD5-E997-44B8-B9CC-8BD53A09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Signika" w:eastAsia="Noto Sans CJK SC" w:hAnsi="Signika" w:cs="Lohit Devanagari"/>
      <w:kern w:val="2"/>
      <w:szCs w:val="24"/>
      <w:lang w:eastAsia="zh-CN" w:bidi="hi-I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next w:val="Textoindependiente"/>
    <w:pPr>
      <w:keepNext/>
      <w:spacing w:before="240" w:after="120"/>
    </w:pPr>
    <w:rPr>
      <w:rFonts w:ascii="Raleway Black" w:hAnsi="Raleway Black"/>
      <w:sz w:val="36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sz w:val="1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16"/>
    </w:rPr>
  </w:style>
  <w:style w:type="paragraph" w:customStyle="1" w:styleId="ndice">
    <w:name w:val="Índice"/>
    <w:basedOn w:val="Normal"/>
    <w:pPr>
      <w:suppressLineNumbers/>
    </w:pPr>
    <w:rPr>
      <w:sz w:val="24"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ipervnculo">
    <w:name w:val="Hyperlink"/>
    <w:uiPriority w:val="99"/>
    <w:unhideWhenUsed/>
    <w:rsid w:val="006C1C5F"/>
    <w:rPr>
      <w:color w:val="0563C1"/>
      <w:u w:val="single"/>
    </w:rPr>
  </w:style>
  <w:style w:type="paragraph" w:styleId="Sinespaciado">
    <w:name w:val="No Spacing"/>
    <w:uiPriority w:val="1"/>
    <w:qFormat/>
    <w:rsid w:val="00022A01"/>
    <w:pPr>
      <w:suppressAutoHyphens/>
    </w:pPr>
    <w:rPr>
      <w:rFonts w:ascii="Signika" w:eastAsia="Noto Sans CJK SC" w:hAnsi="Signika" w:cs="Mangal"/>
      <w:kern w:val="2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032890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SUE~1.MAS\AppData\Local\Temp\plantilla%20de%20circular-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 circular-2</Template>
  <TotalTime>179</TotalTime>
  <Pages>4</Pages>
  <Words>1242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CREEX</vt:lpstr>
    </vt:vector>
  </TitlesOfParts>
  <Company>TuSoft.org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CREEX</dc:title>
  <dc:subject/>
  <dc:creator>Consuelo Masa</dc:creator>
  <cp:keywords/>
  <cp:lastModifiedBy>Álvaro Sancho</cp:lastModifiedBy>
  <cp:revision>4</cp:revision>
  <cp:lastPrinted>1899-12-31T22:00:00Z</cp:lastPrinted>
  <dcterms:created xsi:type="dcterms:W3CDTF">2020-05-12T13:00:00Z</dcterms:created>
  <dcterms:modified xsi:type="dcterms:W3CDTF">2020-05-12T16:00:00Z</dcterms:modified>
</cp:coreProperties>
</file>